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A8" w:rsidRPr="00034105" w:rsidRDefault="00DD7CED" w:rsidP="00034105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1-1 к тендерной документации</w:t>
      </w:r>
      <w:r w:rsidR="00A20149">
        <w:rPr>
          <w:sz w:val="22"/>
          <w:szCs w:val="22"/>
        </w:rPr>
        <w:t>.</w:t>
      </w:r>
    </w:p>
    <w:p w:rsidR="00005EA8" w:rsidRDefault="00005EA8" w:rsidP="00032882">
      <w:pPr>
        <w:jc w:val="center"/>
        <w:rPr>
          <w:b/>
          <w:bCs/>
        </w:rPr>
      </w:pPr>
      <w:r w:rsidRPr="009F3395">
        <w:rPr>
          <w:b/>
        </w:rPr>
        <w:t>Техническая спецификация</w:t>
      </w:r>
      <w:r w:rsidR="00BD0478">
        <w:rPr>
          <w:b/>
        </w:rPr>
        <w:t xml:space="preserve"> </w:t>
      </w:r>
      <w:r w:rsidR="009F3395" w:rsidRPr="009F3395">
        <w:rPr>
          <w:b/>
          <w:bCs/>
        </w:rPr>
        <w:t>медицинских изделий</w:t>
      </w:r>
    </w:p>
    <w:p w:rsidR="00761413" w:rsidRDefault="00761413" w:rsidP="00761413">
      <w:pPr>
        <w:pStyle w:val="a4"/>
        <w:ind w:left="-567" w:firstLine="283"/>
        <w:jc w:val="both"/>
        <w:rPr>
          <w:rFonts w:ascii="Times New Roman" w:hAnsi="Times New Roman"/>
          <w:sz w:val="24"/>
          <w:szCs w:val="24"/>
        </w:rPr>
      </w:pPr>
    </w:p>
    <w:tbl>
      <w:tblPr>
        <w:tblW w:w="155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106"/>
        <w:gridCol w:w="10966"/>
      </w:tblGrid>
      <w:tr w:rsidR="007A6958" w:rsidRPr="003A6F42" w:rsidTr="00DE67C5">
        <w:trPr>
          <w:trHeight w:val="150"/>
        </w:trPr>
        <w:tc>
          <w:tcPr>
            <w:tcW w:w="458" w:type="dxa"/>
            <w:vAlign w:val="center"/>
          </w:tcPr>
          <w:p w:rsidR="007A6958" w:rsidRPr="004E6F42" w:rsidRDefault="007A6958" w:rsidP="00DE67C5">
            <w:pPr>
              <w:jc w:val="center"/>
              <w:rPr>
                <w:b/>
                <w:bCs/>
              </w:rPr>
            </w:pPr>
            <w:r w:rsidRPr="004E6F42">
              <w:rPr>
                <w:b/>
                <w:bCs/>
              </w:rPr>
              <w:t>№</w:t>
            </w:r>
          </w:p>
        </w:tc>
        <w:tc>
          <w:tcPr>
            <w:tcW w:w="4106" w:type="dxa"/>
            <w:vAlign w:val="center"/>
          </w:tcPr>
          <w:p w:rsidR="007A6958" w:rsidRPr="004E6F42" w:rsidRDefault="007A6958" w:rsidP="00DE67C5">
            <w:pPr>
              <w:jc w:val="center"/>
              <w:rPr>
                <w:b/>
                <w:bCs/>
              </w:rPr>
            </w:pPr>
            <w:r w:rsidRPr="004E6F42">
              <w:rPr>
                <w:b/>
                <w:bCs/>
              </w:rPr>
              <w:t xml:space="preserve">Наименование </w:t>
            </w:r>
          </w:p>
        </w:tc>
        <w:tc>
          <w:tcPr>
            <w:tcW w:w="10966" w:type="dxa"/>
            <w:vAlign w:val="center"/>
          </w:tcPr>
          <w:p w:rsidR="007A6958" w:rsidRPr="004E6F42" w:rsidRDefault="007A6958" w:rsidP="00DE67C5">
            <w:pPr>
              <w:jc w:val="center"/>
              <w:rPr>
                <w:b/>
                <w:color w:val="000000"/>
              </w:rPr>
            </w:pPr>
            <w:r w:rsidRPr="004E6F42">
              <w:rPr>
                <w:b/>
                <w:color w:val="000000"/>
              </w:rPr>
              <w:t>Техническая спецификация</w:t>
            </w:r>
          </w:p>
        </w:tc>
      </w:tr>
      <w:tr w:rsidR="007A6958" w:rsidRPr="003A6F42" w:rsidTr="00DE67C5">
        <w:trPr>
          <w:trHeight w:val="150"/>
        </w:trPr>
        <w:tc>
          <w:tcPr>
            <w:tcW w:w="458" w:type="dxa"/>
            <w:vAlign w:val="center"/>
          </w:tcPr>
          <w:p w:rsidR="007A6958" w:rsidRPr="004E6F42" w:rsidRDefault="007A6958" w:rsidP="00DE67C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6" w:type="dxa"/>
            <w:vAlign w:val="center"/>
          </w:tcPr>
          <w:p w:rsidR="007A6958" w:rsidRPr="004E6F42" w:rsidRDefault="007A6958" w:rsidP="00DE67C5">
            <w:pPr>
              <w:rPr>
                <w:bCs/>
              </w:rPr>
            </w:pPr>
            <w:r w:rsidRPr="004E6F42">
              <w:rPr>
                <w:bCs/>
              </w:rPr>
              <w:t xml:space="preserve"> Набор реагентов к многофункциональному анализатору закрытого типа "Виктор", для скрининга беременных РАРРА </w:t>
            </w:r>
          </w:p>
          <w:p w:rsidR="007A6958" w:rsidRPr="004E6F42" w:rsidRDefault="007A6958" w:rsidP="00DE67C5">
            <w:r w:rsidRPr="004E6F42">
              <w:rPr>
                <w:bCs/>
              </w:rPr>
              <w:t>(96 определений)</w:t>
            </w:r>
            <w:r w:rsidRPr="004E6F42">
              <w:br/>
              <w:t xml:space="preserve"> </w:t>
            </w:r>
          </w:p>
        </w:tc>
        <w:tc>
          <w:tcPr>
            <w:tcW w:w="10966" w:type="dxa"/>
            <w:vAlign w:val="center"/>
          </w:tcPr>
          <w:p w:rsidR="007A6958" w:rsidRPr="004E6F42" w:rsidRDefault="007A6958" w:rsidP="00DE67C5">
            <w:proofErr w:type="gramStart"/>
            <w:r w:rsidRPr="004E6F42">
              <w:t xml:space="preserve">Метод – </w:t>
            </w:r>
            <w:proofErr w:type="spellStart"/>
            <w:r w:rsidRPr="004E6F42">
              <w:t>иммунофлюоресценция</w:t>
            </w:r>
            <w:proofErr w:type="spellEnd"/>
            <w:r w:rsidRPr="004E6F42">
              <w:t xml:space="preserve"> с разрешением по времени  на </w:t>
            </w:r>
            <w:proofErr w:type="spellStart"/>
            <w:r w:rsidRPr="004E6F42">
              <w:t>основелантанидной</w:t>
            </w:r>
            <w:proofErr w:type="spellEnd"/>
            <w:r w:rsidRPr="004E6F42">
              <w:t xml:space="preserve">  (</w:t>
            </w:r>
            <w:proofErr w:type="spellStart"/>
            <w:r w:rsidRPr="004E6F42">
              <w:t>Eu</w:t>
            </w:r>
            <w:proofErr w:type="spellEnd"/>
            <w:r w:rsidRPr="004E6F42">
              <w:t>) метки, длины волн измерения – 340 нм (возбуждение) и 615 нм (испускание),</w:t>
            </w:r>
            <w:r w:rsidRPr="004E6F42">
              <w:br/>
              <w:t xml:space="preserve">измерение флюоресценции на </w:t>
            </w:r>
            <w:proofErr w:type="spellStart"/>
            <w:r w:rsidRPr="004E6F42">
              <w:t>микропланшетах</w:t>
            </w:r>
            <w:proofErr w:type="spellEnd"/>
            <w:r w:rsidRPr="004E6F42">
              <w:t xml:space="preserve"> (96 лунок),  концентрационный диапазон измерения: 0-2000 </w:t>
            </w:r>
            <w:proofErr w:type="spellStart"/>
            <w:r w:rsidRPr="004E6F42">
              <w:t>мЕд</w:t>
            </w:r>
            <w:proofErr w:type="spellEnd"/>
            <w:r w:rsidRPr="004E6F42">
              <w:t xml:space="preserve">/л, </w:t>
            </w:r>
            <w:proofErr w:type="spellStart"/>
            <w:r w:rsidRPr="004E6F42">
              <w:t>флюоресценционный</w:t>
            </w:r>
            <w:proofErr w:type="spellEnd"/>
            <w:r w:rsidRPr="004E6F42">
              <w:t xml:space="preserve"> диапазон измерения: 0-2 800 000 импульсов </w:t>
            </w:r>
            <w:r w:rsidRPr="004E6F42">
              <w:br/>
              <w:t xml:space="preserve">• стандарты во флаконах, </w:t>
            </w:r>
            <w:proofErr w:type="spellStart"/>
            <w:r w:rsidRPr="004E6F42">
              <w:t>лиофиллизированные</w:t>
            </w:r>
            <w:proofErr w:type="spellEnd"/>
            <w:r w:rsidRPr="004E6F42">
              <w:t>, 6 уровней, откалиброваны по  международному стандарту ВОЗ  IRP №78/610 для SP1.</w:t>
            </w:r>
            <w:proofErr w:type="gramEnd"/>
            <w:r w:rsidRPr="004E6F42">
              <w:t xml:space="preserve"> Процент разброса в параллелях (CV%) для стандартов,  тестируемых образцов не более 7% , аналитическая чувствительность:  &lt; 5.0 </w:t>
            </w:r>
            <w:proofErr w:type="spellStart"/>
            <w:r w:rsidRPr="004E6F42">
              <w:t>мЕд</w:t>
            </w:r>
            <w:proofErr w:type="spellEnd"/>
            <w:r w:rsidRPr="004E6F42">
              <w:t xml:space="preserve">/л </w:t>
            </w:r>
            <w:r w:rsidRPr="004E6F42">
              <w:br/>
              <w:t xml:space="preserve">• </w:t>
            </w:r>
            <w:proofErr w:type="spellStart"/>
            <w:r w:rsidRPr="004E6F42">
              <w:t>воспроизводимость</w:t>
            </w:r>
            <w:proofErr w:type="spellEnd"/>
            <w:r w:rsidRPr="004E6F42">
              <w:t xml:space="preserve"> -  81-96% (ср.=90%) в пределах срока годности. Состав набора:  стандарты, меченые </w:t>
            </w:r>
            <w:proofErr w:type="spellStart"/>
            <w:r w:rsidRPr="004E6F42">
              <w:t>Eu</w:t>
            </w:r>
            <w:proofErr w:type="spellEnd"/>
            <w:r w:rsidRPr="004E6F42">
              <w:t xml:space="preserve"> антитела к ПАПП-А, меченые биотином антитела к ПАПП-А, буфер для инкубации, промывочный реагент, усиливающий реагент,  </w:t>
            </w:r>
            <w:proofErr w:type="spellStart"/>
            <w:r w:rsidRPr="004E6F42">
              <w:t>микротитровальные</w:t>
            </w:r>
            <w:proofErr w:type="spellEnd"/>
            <w:r w:rsidRPr="004E6F42">
              <w:t xml:space="preserve"> планшеты (1 </w:t>
            </w:r>
            <w:proofErr w:type="spellStart"/>
            <w:proofErr w:type="gramStart"/>
            <w:r w:rsidRPr="004E6F42">
              <w:t>шт</w:t>
            </w:r>
            <w:proofErr w:type="spellEnd"/>
            <w:proofErr w:type="gramEnd"/>
            <w:r w:rsidRPr="004E6F42">
              <w:t xml:space="preserve">) покрытые </w:t>
            </w:r>
            <w:proofErr w:type="spellStart"/>
            <w:r w:rsidRPr="004E6F42">
              <w:t>стрептавидином</w:t>
            </w:r>
            <w:proofErr w:type="spellEnd"/>
            <w:r w:rsidRPr="004E6F42">
              <w:t>, сертификат контроля качества,  условия хранения - +2+8С, срок годности 12 месяцев</w:t>
            </w:r>
            <w:r>
              <w:br/>
            </w:r>
            <w:r w:rsidRPr="004E6F42">
              <w:t>96 определений.</w:t>
            </w:r>
          </w:p>
        </w:tc>
      </w:tr>
      <w:tr w:rsidR="007A6958" w:rsidRPr="004E6F42" w:rsidTr="00DE67C5">
        <w:trPr>
          <w:trHeight w:val="150"/>
        </w:trPr>
        <w:tc>
          <w:tcPr>
            <w:tcW w:w="458" w:type="dxa"/>
            <w:vAlign w:val="center"/>
          </w:tcPr>
          <w:p w:rsidR="007A6958" w:rsidRPr="004E6F42" w:rsidRDefault="007A6958" w:rsidP="00DE67C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06" w:type="dxa"/>
            <w:vAlign w:val="center"/>
          </w:tcPr>
          <w:p w:rsidR="007A6958" w:rsidRPr="004E6F42" w:rsidRDefault="007A6958" w:rsidP="00DE67C5">
            <w:pPr>
              <w:rPr>
                <w:bCs/>
              </w:rPr>
            </w:pPr>
            <w:r w:rsidRPr="004E6F42">
              <w:rPr>
                <w:bCs/>
              </w:rPr>
              <w:t xml:space="preserve">Набор реагентов к многофункциональному анализатору закрытого типа "Виктор", для скрининга беременных </w:t>
            </w:r>
            <w:proofErr w:type="spellStart"/>
            <w:r w:rsidRPr="004E6F42">
              <w:rPr>
                <w:bCs/>
              </w:rPr>
              <w:t>Бета-ХГЧ</w:t>
            </w:r>
            <w:proofErr w:type="spellEnd"/>
            <w:r w:rsidRPr="004E6F42">
              <w:rPr>
                <w:bCs/>
              </w:rPr>
              <w:t xml:space="preserve"> </w:t>
            </w:r>
          </w:p>
          <w:p w:rsidR="007A6958" w:rsidRPr="004E6F42" w:rsidRDefault="007A6958" w:rsidP="00DE67C5">
            <w:pPr>
              <w:rPr>
                <w:bCs/>
              </w:rPr>
            </w:pPr>
            <w:r w:rsidRPr="004E6F42">
              <w:rPr>
                <w:bCs/>
              </w:rPr>
              <w:t xml:space="preserve">(96 определений) </w:t>
            </w:r>
          </w:p>
        </w:tc>
        <w:tc>
          <w:tcPr>
            <w:tcW w:w="10966" w:type="dxa"/>
            <w:vAlign w:val="center"/>
          </w:tcPr>
          <w:p w:rsidR="007A6958" w:rsidRPr="004E6F42" w:rsidRDefault="007A6958" w:rsidP="00DE67C5">
            <w:r w:rsidRPr="004E6F42">
              <w:t xml:space="preserve">Метод – </w:t>
            </w:r>
            <w:proofErr w:type="spellStart"/>
            <w:r w:rsidRPr="004E6F42">
              <w:t>иммунофлюоресценция</w:t>
            </w:r>
            <w:proofErr w:type="spellEnd"/>
            <w:r w:rsidRPr="004E6F42">
              <w:t xml:space="preserve"> с разрешением по времени  на основе  </w:t>
            </w:r>
            <w:proofErr w:type="spellStart"/>
            <w:r w:rsidRPr="004E6F42">
              <w:t>лантанидной</w:t>
            </w:r>
            <w:proofErr w:type="spellEnd"/>
            <w:r w:rsidRPr="004E6F42">
              <w:t xml:space="preserve">  (</w:t>
            </w:r>
            <w:proofErr w:type="spellStart"/>
            <w:r w:rsidRPr="004E6F42">
              <w:t>Sm</w:t>
            </w:r>
            <w:proofErr w:type="spellEnd"/>
            <w:r w:rsidRPr="004E6F42">
              <w:t xml:space="preserve">) метки,  длины волн измерения – 340 нм (возбуждение) и 615 нм (испускание). Измерение флюоресценции на </w:t>
            </w:r>
            <w:proofErr w:type="spellStart"/>
            <w:r w:rsidRPr="004E6F42">
              <w:t>микропланшетах</w:t>
            </w:r>
            <w:proofErr w:type="spellEnd"/>
            <w:r w:rsidRPr="004E6F42">
              <w:t xml:space="preserve"> (96 лунок),  концентрационный диапазон измерения: 0-200 </w:t>
            </w:r>
            <w:proofErr w:type="spellStart"/>
            <w:r w:rsidRPr="004E6F42">
              <w:t>нг</w:t>
            </w:r>
            <w:proofErr w:type="spellEnd"/>
            <w:r w:rsidRPr="004E6F42">
              <w:t xml:space="preserve">/мл. Отсутствие </w:t>
            </w:r>
            <w:proofErr w:type="spellStart"/>
            <w:r w:rsidRPr="004E6F42">
              <w:t>Hook</w:t>
            </w:r>
            <w:proofErr w:type="spellEnd"/>
            <w:r w:rsidRPr="004E6F42">
              <w:t xml:space="preserve"> эффекта до 2000 </w:t>
            </w:r>
            <w:proofErr w:type="spellStart"/>
            <w:r w:rsidRPr="004E6F42">
              <w:t>нг</w:t>
            </w:r>
            <w:proofErr w:type="spellEnd"/>
            <w:r w:rsidRPr="004E6F42">
              <w:t>/</w:t>
            </w:r>
            <w:proofErr w:type="spellStart"/>
            <w:r w:rsidRPr="004E6F42">
              <w:t>мл</w:t>
            </w:r>
            <w:proofErr w:type="gramStart"/>
            <w:r w:rsidRPr="004E6F42">
              <w:t>.Ф</w:t>
            </w:r>
            <w:proofErr w:type="gramEnd"/>
            <w:r w:rsidRPr="004E6F42">
              <w:t>люоресценционный</w:t>
            </w:r>
            <w:proofErr w:type="spellEnd"/>
            <w:r w:rsidRPr="004E6F42">
              <w:t xml:space="preserve"> диапазон измерения: 0-80 000 импульсов,  стандарты во флаконах, </w:t>
            </w:r>
            <w:proofErr w:type="spellStart"/>
            <w:r w:rsidRPr="004E6F42">
              <w:t>лиофиллизированные</w:t>
            </w:r>
            <w:proofErr w:type="spellEnd"/>
            <w:r w:rsidRPr="004E6F42">
              <w:t xml:space="preserve">, 6 уровней, откалиброваны по международному стандарту ВОЗ  №75/551 , процент разброса в параллелях (CV%) для стандартов,  тестируемых образцов не более 5% , аналитическая чувствительность &lt; 0.2 </w:t>
            </w:r>
            <w:proofErr w:type="spellStart"/>
            <w:r w:rsidRPr="004E6F42">
              <w:t>нг</w:t>
            </w:r>
            <w:proofErr w:type="spellEnd"/>
            <w:r w:rsidRPr="004E6F42">
              <w:t xml:space="preserve">/мл , </w:t>
            </w:r>
            <w:proofErr w:type="spellStart"/>
            <w:r w:rsidRPr="004E6F42">
              <w:t>воспроизводимость</w:t>
            </w:r>
            <w:proofErr w:type="spellEnd"/>
            <w:r w:rsidRPr="004E6F42">
              <w:t xml:space="preserve"> = 88-117% (ср.=102%) в пределах срока годности. Состав набора: стандарты, меченые </w:t>
            </w:r>
            <w:proofErr w:type="spellStart"/>
            <w:r w:rsidRPr="004E6F42">
              <w:t>Sm</w:t>
            </w:r>
            <w:proofErr w:type="spellEnd"/>
            <w:r w:rsidRPr="004E6F42">
              <w:t xml:space="preserve"> антитела к ХГЧ,  буфер для инкубации, промывочный реагент, усиливающий реагент,  </w:t>
            </w:r>
            <w:proofErr w:type="spellStart"/>
            <w:r w:rsidRPr="004E6F42">
              <w:t>микротитровальные</w:t>
            </w:r>
            <w:proofErr w:type="spellEnd"/>
            <w:r w:rsidRPr="004E6F42">
              <w:t xml:space="preserve"> планшеты (1 </w:t>
            </w:r>
            <w:proofErr w:type="spellStart"/>
            <w:proofErr w:type="gramStart"/>
            <w:r w:rsidRPr="004E6F42">
              <w:t>шт</w:t>
            </w:r>
            <w:proofErr w:type="spellEnd"/>
            <w:proofErr w:type="gramEnd"/>
            <w:r w:rsidRPr="004E6F42">
              <w:t>) покрытые антителами к ХГЧ, сертификат контроля качества, условия хранения - +2+8С</w:t>
            </w:r>
            <w:r>
              <w:br/>
            </w:r>
            <w:r w:rsidRPr="004E6F42">
              <w:t>96 определений.</w:t>
            </w:r>
            <w:bookmarkStart w:id="0" w:name="_GoBack"/>
            <w:bookmarkEnd w:id="0"/>
          </w:p>
        </w:tc>
      </w:tr>
      <w:tr w:rsidR="007A6958" w:rsidRPr="003A6F42" w:rsidTr="00DE67C5">
        <w:trPr>
          <w:trHeight w:val="150"/>
        </w:trPr>
        <w:tc>
          <w:tcPr>
            <w:tcW w:w="458" w:type="dxa"/>
            <w:vAlign w:val="center"/>
          </w:tcPr>
          <w:p w:rsidR="007A6958" w:rsidRPr="00250096" w:rsidRDefault="007A6958" w:rsidP="00DE67C5">
            <w:pPr>
              <w:rPr>
                <w:bCs/>
              </w:rPr>
            </w:pPr>
            <w:r w:rsidRPr="00250096">
              <w:rPr>
                <w:bCs/>
              </w:rPr>
              <w:t>3</w:t>
            </w:r>
          </w:p>
        </w:tc>
        <w:tc>
          <w:tcPr>
            <w:tcW w:w="4106" w:type="dxa"/>
            <w:vAlign w:val="center"/>
          </w:tcPr>
          <w:p w:rsidR="007A6958" w:rsidRPr="00250096" w:rsidRDefault="007A6958" w:rsidP="00DE67C5">
            <w:pPr>
              <w:autoSpaceDE w:val="0"/>
              <w:autoSpaceDN w:val="0"/>
              <w:adjustRightInd w:val="0"/>
              <w:rPr>
                <w:bCs/>
              </w:rPr>
            </w:pPr>
            <w:r w:rsidRPr="009E76A1">
              <w:rPr>
                <w:bCs/>
              </w:rPr>
              <w:t xml:space="preserve">Набор реагентов к многофункциональному анализатору закрытого типа "Виктор", для </w:t>
            </w:r>
            <w:r w:rsidRPr="00250096">
              <w:rPr>
                <w:bCs/>
              </w:rPr>
              <w:t xml:space="preserve"> количественного определения</w:t>
            </w:r>
          </w:p>
          <w:p w:rsidR="007A6958" w:rsidRPr="009E76A1" w:rsidRDefault="007A6958" w:rsidP="00DE67C5">
            <w:pPr>
              <w:rPr>
                <w:bCs/>
              </w:rPr>
            </w:pPr>
            <w:proofErr w:type="spellStart"/>
            <w:r w:rsidRPr="00250096">
              <w:rPr>
                <w:bCs/>
              </w:rPr>
              <w:t>тиреотропного</w:t>
            </w:r>
            <w:proofErr w:type="spellEnd"/>
            <w:r w:rsidRPr="00250096">
              <w:rPr>
                <w:bCs/>
              </w:rPr>
              <w:t xml:space="preserve"> гормона ТТГ </w:t>
            </w:r>
          </w:p>
          <w:p w:rsidR="007A6958" w:rsidRPr="00250096" w:rsidRDefault="007A6958" w:rsidP="00DE67C5">
            <w:pPr>
              <w:rPr>
                <w:bCs/>
              </w:rPr>
            </w:pPr>
            <w:r w:rsidRPr="009E76A1">
              <w:rPr>
                <w:bCs/>
              </w:rPr>
              <w:t>(960 определений), с бланками</w:t>
            </w:r>
            <w:r w:rsidRPr="00250096">
              <w:rPr>
                <w:bCs/>
              </w:rPr>
              <w:t xml:space="preserve">  </w:t>
            </w:r>
          </w:p>
        </w:tc>
        <w:tc>
          <w:tcPr>
            <w:tcW w:w="10966" w:type="dxa"/>
            <w:vAlign w:val="center"/>
          </w:tcPr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Наборы для определения </w:t>
            </w:r>
            <w:proofErr w:type="spellStart"/>
            <w:r w:rsidRPr="0056286F">
              <w:t>тиреотропного</w:t>
            </w:r>
            <w:proofErr w:type="spellEnd"/>
            <w:r w:rsidRPr="0056286F">
              <w:t xml:space="preserve"> гормона в сухих пятнах крови новорожденных для проведения  </w:t>
            </w:r>
            <w:proofErr w:type="spellStart"/>
            <w:r w:rsidRPr="0056286F">
              <w:t>неонатального</w:t>
            </w:r>
            <w:proofErr w:type="spellEnd"/>
            <w:r w:rsidRPr="0056286F">
              <w:t xml:space="preserve"> скрининга на врожденный гипотиреоз диаметром 3.2мм с использованием для закрытого анализатора </w:t>
            </w:r>
          </w:p>
          <w:p w:rsidR="007A6958" w:rsidRDefault="007A6958" w:rsidP="00DE67C5">
            <w:pPr>
              <w:ind w:left="33" w:hanging="33"/>
              <w:jc w:val="both"/>
            </w:pPr>
            <w:r w:rsidRPr="0056286F">
              <w:t xml:space="preserve">Метод - </w:t>
            </w:r>
            <w:proofErr w:type="spellStart"/>
            <w:r w:rsidRPr="0056286F">
              <w:t>иммунофлуоресценция</w:t>
            </w:r>
            <w:proofErr w:type="spellEnd"/>
            <w:r w:rsidRPr="0056286F">
              <w:t xml:space="preserve"> с разрешением по времени на основе </w:t>
            </w:r>
            <w:proofErr w:type="spellStart"/>
            <w:r w:rsidRPr="0056286F">
              <w:t>лантанидной</w:t>
            </w:r>
            <w:proofErr w:type="spellEnd"/>
            <w:r w:rsidRPr="0056286F">
              <w:t xml:space="preserve"> (</w:t>
            </w:r>
            <w:proofErr w:type="spellStart"/>
            <w:r w:rsidRPr="0056286F">
              <w:t>Еu</w:t>
            </w:r>
            <w:proofErr w:type="spellEnd"/>
            <w:r w:rsidRPr="0056286F">
              <w:t>) метки</w:t>
            </w:r>
            <w:proofErr w:type="gramStart"/>
            <w:r w:rsidRPr="0056286F">
              <w:t xml:space="preserve"> </w:t>
            </w:r>
            <w:r>
              <w:t>.</w:t>
            </w:r>
            <w:proofErr w:type="gramEnd"/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Длины волн измерения - 340 нм (возбуждение) и 615 нм (испуск</w:t>
            </w:r>
            <w:r>
              <w:t>ание)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Измерение флюоресценции на </w:t>
            </w:r>
            <w:proofErr w:type="spellStart"/>
            <w:r w:rsidRPr="0056286F">
              <w:t>микропл</w:t>
            </w:r>
            <w:r>
              <w:t>аншетах</w:t>
            </w:r>
            <w:proofErr w:type="spellEnd"/>
            <w:r>
              <w:t xml:space="preserve"> (96 лунок)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Концентрационный диапазон измерения </w:t>
            </w:r>
            <w:r>
              <w:t xml:space="preserve">от 0 до 250 </w:t>
            </w:r>
            <w:proofErr w:type="spellStart"/>
            <w:r>
              <w:t>мкЕд</w:t>
            </w:r>
            <w:proofErr w:type="spellEnd"/>
            <w:r>
              <w:t xml:space="preserve">/мл 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Контроли на фильтровальных бланках (</w:t>
            </w:r>
            <w:proofErr w:type="spellStart"/>
            <w:r w:rsidRPr="0056286F">
              <w:t>Whatman</w:t>
            </w:r>
            <w:proofErr w:type="spellEnd"/>
            <w:r w:rsidRPr="0056286F">
              <w:t xml:space="preserve"> №903), 2 уровня: 15 </w:t>
            </w:r>
            <w:proofErr w:type="spellStart"/>
            <w:r w:rsidRPr="0056286F">
              <w:t>мкЕд</w:t>
            </w:r>
            <w:proofErr w:type="spellEnd"/>
            <w:r w:rsidRPr="0056286F">
              <w:t xml:space="preserve">/мл (отрицательный) и 60 </w:t>
            </w:r>
            <w:proofErr w:type="spellStart"/>
            <w:r w:rsidRPr="0056286F">
              <w:lastRenderedPageBreak/>
              <w:t>мкЕд</w:t>
            </w:r>
            <w:proofErr w:type="spellEnd"/>
            <w:r w:rsidRPr="0056286F">
              <w:t xml:space="preserve">/мл </w:t>
            </w:r>
            <w:r>
              <w:t xml:space="preserve">(положительный) 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Чувствительность - </w:t>
            </w:r>
            <w:r>
              <w:t xml:space="preserve">менее чем 2 </w:t>
            </w:r>
            <w:proofErr w:type="spellStart"/>
            <w:r>
              <w:t>мкЕд</w:t>
            </w:r>
            <w:proofErr w:type="spellEnd"/>
            <w:r>
              <w:t xml:space="preserve">/мл 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Состав набора: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Стандарты, контроли, меченые </w:t>
            </w:r>
            <w:proofErr w:type="spellStart"/>
            <w:r w:rsidRPr="0056286F">
              <w:t>Е</w:t>
            </w:r>
            <w:proofErr w:type="gramStart"/>
            <w:r w:rsidRPr="0056286F">
              <w:t>u</w:t>
            </w:r>
            <w:proofErr w:type="spellEnd"/>
            <w:proofErr w:type="gramEnd"/>
            <w:r w:rsidRPr="0056286F">
              <w:t xml:space="preserve"> антитела к </w:t>
            </w:r>
            <w:proofErr w:type="spellStart"/>
            <w:r w:rsidRPr="0056286F">
              <w:t>тиреотропному</w:t>
            </w:r>
            <w:proofErr w:type="spellEnd"/>
            <w:r w:rsidRPr="0056286F">
              <w:t xml:space="preserve"> гормону, буфер для инкубации, промывочный реагент, усиливающий реагент, </w:t>
            </w:r>
            <w:proofErr w:type="spellStart"/>
            <w:r w:rsidRPr="0056286F">
              <w:t>микротитровальные</w:t>
            </w:r>
            <w:proofErr w:type="spellEnd"/>
            <w:r w:rsidRPr="0056286F">
              <w:t xml:space="preserve"> планшеты (10 шт.), покрытые антителами к </w:t>
            </w:r>
            <w:proofErr w:type="spellStart"/>
            <w:r w:rsidRPr="0056286F">
              <w:t>тиреотропному</w:t>
            </w:r>
            <w:proofErr w:type="spellEnd"/>
            <w:r w:rsidRPr="0056286F">
              <w:t xml:space="preserve"> гормону, сертификат контроля качества, бланки</w:t>
            </w:r>
            <w:r>
              <w:t xml:space="preserve"> для проб 1000 шт.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Условия хранения: +2...+8С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proofErr w:type="gramStart"/>
            <w:r w:rsidRPr="0056286F">
              <w:t>Стандартизована</w:t>
            </w:r>
            <w:proofErr w:type="gramEnd"/>
            <w:r w:rsidRPr="0056286F">
              <w:t xml:space="preserve"> в соответствии с требованиями Международного общества </w:t>
            </w:r>
            <w:proofErr w:type="spellStart"/>
            <w:r w:rsidRPr="0056286F">
              <w:t>неоната</w:t>
            </w:r>
            <w:r>
              <w:t>льного</w:t>
            </w:r>
            <w:proofErr w:type="spellEnd"/>
            <w:r>
              <w:t xml:space="preserve"> скрининга (NCCLS)</w:t>
            </w:r>
            <w:r w:rsidRPr="0056286F">
              <w:t xml:space="preserve"> 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 xml:space="preserve">Плотность -186.3 (160-195) г/м 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Толщина - 0.531 (0.46 - 0.58) мм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Объем сыворотки - 1.54 (1.37-1.71) мкл на диск размером 3.2 мм</w:t>
            </w:r>
          </w:p>
          <w:p w:rsidR="007A6958" w:rsidRPr="0056286F" w:rsidRDefault="007A6958" w:rsidP="00DE67C5">
            <w:pPr>
              <w:ind w:left="33" w:hanging="33"/>
              <w:jc w:val="both"/>
            </w:pPr>
            <w:r w:rsidRPr="0056286F">
              <w:t>На 960 определений п</w:t>
            </w:r>
            <w:r>
              <w:t>о сухим пятнам крови</w:t>
            </w:r>
            <w:r w:rsidRPr="0056286F">
              <w:t xml:space="preserve"> </w:t>
            </w:r>
          </w:p>
          <w:p w:rsidR="007A6958" w:rsidRPr="009E76A1" w:rsidRDefault="007A6958" w:rsidP="00DE67C5">
            <w:r>
              <w:t xml:space="preserve">Маркировка  </w:t>
            </w:r>
            <w:proofErr w:type="spellStart"/>
            <w:r>
              <w:t>CEmarked</w:t>
            </w:r>
            <w:proofErr w:type="spellEnd"/>
            <w:r>
              <w:t>.</w:t>
            </w:r>
          </w:p>
        </w:tc>
      </w:tr>
      <w:tr w:rsidR="007A6958" w:rsidRPr="003A6F42" w:rsidTr="00DE67C5">
        <w:trPr>
          <w:trHeight w:val="150"/>
        </w:trPr>
        <w:tc>
          <w:tcPr>
            <w:tcW w:w="458" w:type="dxa"/>
            <w:vAlign w:val="center"/>
          </w:tcPr>
          <w:p w:rsidR="007A6958" w:rsidRPr="004E6F42" w:rsidRDefault="007A6958" w:rsidP="00DE67C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4106" w:type="dxa"/>
            <w:vAlign w:val="center"/>
          </w:tcPr>
          <w:p w:rsidR="007A6958" w:rsidRPr="00235463" w:rsidRDefault="007A6958" w:rsidP="00DE67C5">
            <w:pPr>
              <w:rPr>
                <w:highlight w:val="yellow"/>
              </w:rPr>
            </w:pPr>
            <w:r w:rsidRPr="00CD3EEA">
              <w:rPr>
                <w:bCs/>
              </w:rPr>
              <w:t xml:space="preserve">Набор реагентов к многофункциональному анализатору закрытого типа "Виктор", для количественного определения </w:t>
            </w:r>
            <w:proofErr w:type="spellStart"/>
            <w:r w:rsidRPr="00CD3EEA">
              <w:rPr>
                <w:bCs/>
              </w:rPr>
              <w:t>фенилаланина</w:t>
            </w:r>
            <w:proofErr w:type="spellEnd"/>
            <w:r w:rsidRPr="00CD3EEA">
              <w:rPr>
                <w:bCs/>
              </w:rPr>
              <w:t xml:space="preserve"> в образцах крови ФКУ (960 определений)</w:t>
            </w:r>
            <w:r w:rsidRPr="00CD3EEA">
              <w:t xml:space="preserve">         </w:t>
            </w:r>
          </w:p>
        </w:tc>
        <w:tc>
          <w:tcPr>
            <w:tcW w:w="10966" w:type="dxa"/>
            <w:vAlign w:val="center"/>
          </w:tcPr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Наборы для количественного определения </w:t>
            </w:r>
            <w:proofErr w:type="spellStart"/>
            <w:r w:rsidRPr="00CD3EEA">
              <w:t>фенилаланина</w:t>
            </w:r>
            <w:proofErr w:type="spellEnd"/>
            <w:r w:rsidRPr="00CD3EEA">
              <w:t xml:space="preserve"> в образцах крови ФКУ на 960 определении с использованием для закрытого анализатора. Применяются совместно с программами вычисления степени риска </w:t>
            </w:r>
            <w:proofErr w:type="spellStart"/>
            <w:r w:rsidRPr="00CD3EEA">
              <w:t>LifeCycle</w:t>
            </w:r>
            <w:proofErr w:type="spellEnd"/>
            <w:r w:rsidRPr="00CD3EEA">
              <w:t xml:space="preserve"> (TM).Метод – </w:t>
            </w:r>
            <w:proofErr w:type="spellStart"/>
            <w:r w:rsidRPr="00CD3EEA">
              <w:t>иммунофлюоресценция</w:t>
            </w:r>
            <w:proofErr w:type="spellEnd"/>
            <w:r w:rsidRPr="00CD3EEA">
              <w:t xml:space="preserve"> с разрешением по времени  на основе </w:t>
            </w:r>
            <w:proofErr w:type="spellStart"/>
            <w:r w:rsidRPr="00CD3EEA">
              <w:t>лантанидных</w:t>
            </w:r>
            <w:proofErr w:type="spellEnd"/>
            <w:r w:rsidRPr="00CD3EEA">
              <w:t xml:space="preserve">  (</w:t>
            </w:r>
            <w:proofErr w:type="spellStart"/>
            <w:r w:rsidRPr="00CD3EEA">
              <w:t>Eu</w:t>
            </w:r>
            <w:proofErr w:type="spellEnd"/>
            <w:r w:rsidRPr="00CD3EEA">
              <w:t xml:space="preserve"> и </w:t>
            </w:r>
            <w:proofErr w:type="spellStart"/>
            <w:r w:rsidRPr="00CD3EEA">
              <w:t>Sm</w:t>
            </w:r>
            <w:proofErr w:type="spellEnd"/>
            <w:r w:rsidRPr="00CD3EEA">
              <w:t xml:space="preserve">) меток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Длины волн измерения - 340 нм (возбуждение) и 615 нм (испускание)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Измерение флюоресценции на </w:t>
            </w:r>
            <w:proofErr w:type="spellStart"/>
            <w:r w:rsidRPr="00CD3EEA">
              <w:t>микропланшетах</w:t>
            </w:r>
            <w:proofErr w:type="spellEnd"/>
            <w:r w:rsidRPr="00CD3EEA">
              <w:t xml:space="preserve"> (96 лунок)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Концентрационный диапазон измерения от 24 до 908 </w:t>
            </w:r>
            <w:proofErr w:type="spellStart"/>
            <w:r w:rsidRPr="00CD3EEA">
              <w:t>мкмоль</w:t>
            </w:r>
            <w:proofErr w:type="spellEnd"/>
            <w:r w:rsidRPr="00CD3EEA">
              <w:t xml:space="preserve">/л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>Контроли на фильтровальных бланках (</w:t>
            </w:r>
            <w:proofErr w:type="spellStart"/>
            <w:r w:rsidRPr="00CD3EEA">
              <w:t>Whatman</w:t>
            </w:r>
            <w:proofErr w:type="spellEnd"/>
            <w:r w:rsidRPr="00CD3EEA">
              <w:t xml:space="preserve"> №903), 2 уровня: 15 </w:t>
            </w:r>
            <w:proofErr w:type="spellStart"/>
            <w:r w:rsidRPr="00CD3EEA">
              <w:t>мкЕд</w:t>
            </w:r>
            <w:proofErr w:type="spellEnd"/>
            <w:r w:rsidRPr="00CD3EEA">
              <w:t xml:space="preserve">/мл (отрицательный) и 60 </w:t>
            </w:r>
            <w:proofErr w:type="spellStart"/>
            <w:r w:rsidRPr="00CD3EEA">
              <w:t>мкЕд</w:t>
            </w:r>
            <w:proofErr w:type="spellEnd"/>
            <w:r w:rsidRPr="00CD3EEA">
              <w:t xml:space="preserve">/мл (положительный)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Чувствительность - менее чем 2 </w:t>
            </w:r>
            <w:proofErr w:type="spellStart"/>
            <w:r w:rsidRPr="00CD3EEA">
              <w:t>мкЕд</w:t>
            </w:r>
            <w:proofErr w:type="spellEnd"/>
            <w:r w:rsidRPr="00CD3EEA">
              <w:t xml:space="preserve">/мл </w:t>
            </w:r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Состав набора:  </w:t>
            </w:r>
            <w:proofErr w:type="spellStart"/>
            <w:proofErr w:type="gramStart"/>
            <w:r w:rsidRPr="00CD3EEA">
              <w:t>Фенилаланин</w:t>
            </w:r>
            <w:proofErr w:type="spellEnd"/>
            <w:r w:rsidRPr="00CD3EEA">
              <w:t xml:space="preserve"> стандарты 0,5;1,5;2,5;10,5;20,5 мг/дл 6 полосок по 4 пятна на каждой концентрации, 4упаковки; </w:t>
            </w:r>
            <w:proofErr w:type="spellStart"/>
            <w:r w:rsidRPr="00CD3EEA">
              <w:t>Фенилаланин</w:t>
            </w:r>
            <w:proofErr w:type="spellEnd"/>
            <w:r w:rsidRPr="00CD3EEA">
              <w:t xml:space="preserve"> контроли с низким и высоким содержанием, 2 полоски по 4 пятна каждой концентрации, 4 упаковки; Буферный раствор </w:t>
            </w:r>
            <w:proofErr w:type="spellStart"/>
            <w:r w:rsidRPr="00CD3EEA">
              <w:t>pH</w:t>
            </w:r>
            <w:proofErr w:type="spellEnd"/>
            <w:r w:rsidRPr="00CD3EEA">
              <w:t xml:space="preserve"> 5.8 2 флакона; L –</w:t>
            </w:r>
            <w:proofErr w:type="spellStart"/>
            <w:r w:rsidRPr="00CD3EEA">
              <w:t>лейцил-L-аланин</w:t>
            </w:r>
            <w:proofErr w:type="spellEnd"/>
            <w:r w:rsidRPr="00CD3EEA">
              <w:t xml:space="preserve"> 4 флакона; </w:t>
            </w:r>
            <w:proofErr w:type="spellStart"/>
            <w:r w:rsidRPr="00CD3EEA">
              <w:t>Нингидрин</w:t>
            </w:r>
            <w:proofErr w:type="spellEnd"/>
            <w:r w:rsidRPr="00CD3EEA">
              <w:t xml:space="preserve"> 4 флакона; медный реактив, 2 флакона </w:t>
            </w:r>
            <w:proofErr w:type="gramEnd"/>
          </w:p>
          <w:p w:rsidR="007A6958" w:rsidRPr="00CD3EEA" w:rsidRDefault="007A6958" w:rsidP="00DE67C5">
            <w:pPr>
              <w:ind w:left="33" w:hanging="33"/>
              <w:jc w:val="both"/>
            </w:pPr>
            <w:r w:rsidRPr="00CD3EEA">
              <w:t xml:space="preserve">На 960 определений по сухим пятнам крови </w:t>
            </w:r>
          </w:p>
          <w:p w:rsidR="007A6958" w:rsidRPr="00235463" w:rsidRDefault="007A6958" w:rsidP="00DE67C5">
            <w:pPr>
              <w:ind w:left="33" w:hanging="33"/>
              <w:jc w:val="both"/>
              <w:rPr>
                <w:highlight w:val="yellow"/>
              </w:rPr>
            </w:pPr>
            <w:r w:rsidRPr="00CD3EEA">
              <w:t xml:space="preserve">Маркировка CE </w:t>
            </w:r>
            <w:proofErr w:type="spellStart"/>
            <w:r w:rsidRPr="00CD3EEA">
              <w:t>marked</w:t>
            </w:r>
            <w:proofErr w:type="spellEnd"/>
            <w:r w:rsidRPr="00CD3EEA">
              <w:t xml:space="preserve">  </w:t>
            </w:r>
          </w:p>
        </w:tc>
      </w:tr>
      <w:tr w:rsidR="00034105" w:rsidRPr="003A6F42" w:rsidTr="00DE67C5">
        <w:trPr>
          <w:trHeight w:val="150"/>
        </w:trPr>
        <w:tc>
          <w:tcPr>
            <w:tcW w:w="458" w:type="dxa"/>
            <w:vAlign w:val="center"/>
          </w:tcPr>
          <w:p w:rsidR="00034105" w:rsidRDefault="00034105" w:rsidP="00DE67C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06" w:type="dxa"/>
            <w:vAlign w:val="center"/>
          </w:tcPr>
          <w:p w:rsidR="00034105" w:rsidRPr="00CD3EEA" w:rsidRDefault="00034105" w:rsidP="00034105">
            <w:pPr>
              <w:jc w:val="both"/>
              <w:rPr>
                <w:bCs/>
              </w:rPr>
            </w:pPr>
            <w:r w:rsidRPr="00C12119">
              <w:t>Плацентарный фактор роста 123 ДЕЛФИЯ/</w:t>
            </w:r>
            <w:proofErr w:type="spellStart"/>
            <w:r w:rsidRPr="00C12119">
              <w:t>АвтоДЕЛФИЯ</w:t>
            </w:r>
            <w:proofErr w:type="spellEnd"/>
            <w:r w:rsidRPr="00C12119">
              <w:t xml:space="preserve">  (DELFIA/</w:t>
            </w:r>
            <w:proofErr w:type="spellStart"/>
            <w:r w:rsidRPr="00C12119">
              <w:t>AutoDELFIA</w:t>
            </w:r>
            <w:proofErr w:type="spellEnd"/>
            <w:r w:rsidRPr="00C12119">
              <w:t xml:space="preserve"> PIGF 123 </w:t>
            </w:r>
            <w:proofErr w:type="spellStart"/>
            <w:r w:rsidRPr="00C12119">
              <w:t>kit</w:t>
            </w:r>
            <w:proofErr w:type="spellEnd"/>
            <w:r w:rsidRPr="00C12119">
              <w:t>)</w:t>
            </w:r>
          </w:p>
        </w:tc>
        <w:tc>
          <w:tcPr>
            <w:tcW w:w="10966" w:type="dxa"/>
            <w:vAlign w:val="center"/>
          </w:tcPr>
          <w:p w:rsidR="00034105" w:rsidRPr="00034105" w:rsidRDefault="00034105" w:rsidP="00034105">
            <w:pPr>
              <w:pStyle w:val="a4"/>
              <w:jc w:val="both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proofErr w:type="gram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Набор предназначается для количественного определения фактора роста плаценты (ФРП) в материнской сыворотке с использованием автоматической системы для иммунологического анализа ® или модульной системы DELFIA®. Биохимический маркер (ФРП) для скрининга риска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преэклампсии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в первом триместре беременности применяется совместно с программным обеспечением (ПО) для вычисления степени риска (например,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Pre-eclampsia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Predictor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™ или п</w:t>
            </w:r>
            <w:r w:rsidRPr="00034105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рименяются совместно с </w:t>
            </w:r>
            <w:r w:rsidRPr="00034105">
              <w:rPr>
                <w:rFonts w:ascii="Times New Roman" w:eastAsia="CIDFont+F3" w:hAnsi="Times New Roman" w:cs="Times New Roman"/>
                <w:sz w:val="24"/>
                <w:szCs w:val="24"/>
              </w:rPr>
              <w:lastRenderedPageBreak/>
              <w:t xml:space="preserve">программами вычисления степени риска </w:t>
            </w:r>
            <w:proofErr w:type="spellStart"/>
            <w:r w:rsidRPr="00034105">
              <w:rPr>
                <w:rFonts w:ascii="Times New Roman" w:eastAsia="CIDFont+F3" w:hAnsi="Times New Roman" w:cs="Times New Roman"/>
                <w:sz w:val="24"/>
                <w:szCs w:val="24"/>
              </w:rPr>
              <w:t>LifeCycle</w:t>
            </w:r>
            <w:proofErr w:type="spellEnd"/>
            <w:r w:rsidRPr="00034105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 (TM). </w:t>
            </w:r>
            <w:proofErr w:type="gramEnd"/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 –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иммунофлюоресценция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разрешением по времени на основе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лантанидных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Eu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) меток</w:t>
            </w:r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– в наличии.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Длины волн измерения – 340 нм (возбуждение) и 615/640 нм (испускание) </w:t>
            </w:r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– в наличии.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Измерение флюоресценции на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микропланшетах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(96 лунок) </w:t>
            </w:r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– в наличии.</w:t>
            </w:r>
          </w:p>
          <w:p w:rsidR="00034105" w:rsidRPr="00034105" w:rsidRDefault="00034105" w:rsidP="0003410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Концентрационный диапазон измерения: для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anti-PlGF=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0 – 4000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/мл. 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03410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Воспроизводимость</w:t>
            </w:r>
            <w:proofErr w:type="spellEnd"/>
            <w:r w:rsidRPr="0003410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- не менее 98% в пределах срока годности</w:t>
            </w:r>
            <w:r w:rsidRPr="0003410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– в наличии.</w:t>
            </w:r>
          </w:p>
          <w:p w:rsidR="00034105" w:rsidRPr="00034105" w:rsidRDefault="00034105" w:rsidP="0003410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набора: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PlGF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Calibrators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6 (пробирок по 1.1 мл)</w:t>
            </w: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PlGF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Tracer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(Метка ФРП): </w:t>
            </w:r>
            <w:proofErr w:type="gram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Метка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anti-PlGF-Eu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(меченое европием антитело к ФРП) (10 мкг/мл) (мышиное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моноклональное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антитело</w:t>
            </w: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– </w:t>
            </w:r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1 пробирка, 1.0 мл,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PlGF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Assay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Buffer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(Буфер для лабораторного анализа содержания ФРП) – 1 флакон 35 мл,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Anti-PlGF-biotin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antibody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(Меченое биотином антитело к ФРП) (~13 мкг/мл) (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рекомбинантный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антитела человека) – 1 пробирка, 1,5 мл раствор антител состоит из солевого раствора с буфером 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Tris-HCl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7.8) с</w:t>
            </w:r>
            <w:proofErr w:type="gramEnd"/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бычьим сывороточным альбумином и &lt; 0.1 % азида натрия в качестве консерванта. 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контроля качества</w:t>
            </w:r>
            <w:r w:rsidRPr="00034105">
              <w:rPr>
                <w:rFonts w:ascii="Times New Roman" w:hAnsi="Times New Roman" w:cs="Times New Roman"/>
                <w:sz w:val="24"/>
                <w:szCs w:val="24"/>
              </w:rPr>
              <w:t xml:space="preserve"> – в наличии.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96 определений по сыворотке – в наличии.</w:t>
            </w:r>
          </w:p>
          <w:p w:rsidR="00034105" w:rsidRPr="00CD3EEA" w:rsidRDefault="00034105" w:rsidP="00034105">
            <w:pPr>
              <w:pStyle w:val="a4"/>
            </w:pPr>
            <w:r w:rsidRPr="00034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Маркировка CE </w:t>
            </w:r>
            <w:proofErr w:type="spellStart"/>
            <w:r w:rsidRPr="00034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marked</w:t>
            </w:r>
            <w:proofErr w:type="spellEnd"/>
            <w:r w:rsidRPr="00034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в наличии.</w:t>
            </w:r>
          </w:p>
        </w:tc>
      </w:tr>
      <w:tr w:rsidR="00034105" w:rsidRPr="003A6F42" w:rsidTr="00DE67C5">
        <w:trPr>
          <w:trHeight w:val="150"/>
        </w:trPr>
        <w:tc>
          <w:tcPr>
            <w:tcW w:w="458" w:type="dxa"/>
            <w:vAlign w:val="center"/>
          </w:tcPr>
          <w:p w:rsidR="00034105" w:rsidRDefault="00034105" w:rsidP="00DE67C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4106" w:type="dxa"/>
            <w:vAlign w:val="center"/>
          </w:tcPr>
          <w:p w:rsidR="00034105" w:rsidRPr="00C12119" w:rsidRDefault="00034105" w:rsidP="00034105">
            <w:pPr>
              <w:jc w:val="both"/>
            </w:pPr>
            <w:r w:rsidRPr="00C12119">
              <w:rPr>
                <w:color w:val="000000"/>
                <w:sz w:val="22"/>
                <w:szCs w:val="22"/>
              </w:rPr>
              <w:t xml:space="preserve">Контроль </w:t>
            </w:r>
            <w:r w:rsidRPr="00C12119">
              <w:rPr>
                <w:sz w:val="22"/>
                <w:szCs w:val="22"/>
              </w:rPr>
              <w:t xml:space="preserve">для определения плацентарного фактора роста </w:t>
            </w:r>
            <w:proofErr w:type="spellStart"/>
            <w:r w:rsidRPr="00C12119">
              <w:rPr>
                <w:sz w:val="22"/>
                <w:szCs w:val="22"/>
                <w:lang w:val="en-US"/>
              </w:rPr>
              <w:t>PlGF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12119">
              <w:rPr>
                <w:sz w:val="22"/>
                <w:szCs w:val="22"/>
              </w:rPr>
              <w:t>Controls</w:t>
            </w:r>
            <w:proofErr w:type="spellEnd"/>
          </w:p>
        </w:tc>
        <w:tc>
          <w:tcPr>
            <w:tcW w:w="10966" w:type="dxa"/>
            <w:vAlign w:val="center"/>
          </w:tcPr>
          <w:p w:rsidR="00034105" w:rsidRPr="00034105" w:rsidRDefault="00034105" w:rsidP="00034105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для определения плацентарного фактора роста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PlGF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лиофилизированная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сыворотка человека, предназначенная для использования в качестве анализируемой сыворотки контроля качества для контроля точности лабораторных процедур измерения для анализов DELFIA®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PlGF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34105" w:rsidRPr="00034105" w:rsidRDefault="00034105" w:rsidP="00034105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Два уровня контроля доступны, чтобы позволить мониторинг производительности в пределах клинического диапазона.</w:t>
            </w:r>
          </w:p>
          <w:p w:rsidR="00034105" w:rsidRPr="00034105" w:rsidRDefault="00034105" w:rsidP="00034105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Низкий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PlGF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– 5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лиофилизированных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флаконов. </w:t>
            </w:r>
          </w:p>
          <w:p w:rsidR="00034105" w:rsidRPr="00034105" w:rsidRDefault="00034105" w:rsidP="00034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PlGF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– 5 </w:t>
            </w:r>
            <w:proofErr w:type="spellStart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>лиофилизированных</w:t>
            </w:r>
            <w:proofErr w:type="spellEnd"/>
            <w:r w:rsidRPr="000341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флаконов.</w:t>
            </w:r>
          </w:p>
        </w:tc>
      </w:tr>
    </w:tbl>
    <w:p w:rsidR="00730B30" w:rsidRDefault="007A6958" w:rsidP="00034105">
      <w:pPr>
        <w:tabs>
          <w:tab w:val="left" w:pos="6234"/>
        </w:tabs>
      </w:pPr>
      <w:r>
        <w:tab/>
      </w:r>
    </w:p>
    <w:p w:rsidR="004F13EE" w:rsidRPr="00755A36" w:rsidRDefault="004F13EE" w:rsidP="004F13EE">
      <w:pPr>
        <w:ind w:firstLine="567"/>
        <w:jc w:val="both"/>
        <w:rPr>
          <w:b/>
          <w:u w:val="single"/>
        </w:rPr>
      </w:pPr>
      <w:r w:rsidRPr="00E70383">
        <w:rPr>
          <w:b/>
          <w:sz w:val="22"/>
          <w:szCs w:val="22"/>
          <w:u w:val="single"/>
        </w:rPr>
        <w:t>Потенциальные поставщики должны гарантировать выполнение следующих сопутствующих услуг</w:t>
      </w:r>
      <w:r w:rsidRPr="00755A36">
        <w:rPr>
          <w:b/>
          <w:u w:val="single"/>
        </w:rPr>
        <w:t xml:space="preserve">: </w:t>
      </w:r>
    </w:p>
    <w:p w:rsidR="004F13EE" w:rsidRPr="000025E5" w:rsidRDefault="004F13EE" w:rsidP="00761413">
      <w:pPr>
        <w:tabs>
          <w:tab w:val="left" w:pos="1170"/>
        </w:tabs>
        <w:jc w:val="both"/>
        <w:rPr>
          <w:sz w:val="22"/>
          <w:szCs w:val="22"/>
        </w:rPr>
      </w:pPr>
      <w:r w:rsidRPr="00E70383">
        <w:rPr>
          <w:sz w:val="22"/>
          <w:szCs w:val="22"/>
        </w:rPr>
        <w:t xml:space="preserve">1) Потенциальные поставщики обязаны обеспечить доставку медицинских изделий в полном объеме непосредственно до КГП </w:t>
      </w:r>
      <w:r w:rsidR="00761413">
        <w:rPr>
          <w:sz w:val="22"/>
          <w:szCs w:val="22"/>
        </w:rPr>
        <w:t xml:space="preserve">«Многопрофильная больница </w:t>
      </w:r>
      <w:proofErr w:type="spellStart"/>
      <w:r w:rsidR="00761413">
        <w:rPr>
          <w:sz w:val="22"/>
          <w:szCs w:val="22"/>
        </w:rPr>
        <w:t>г</w:t>
      </w:r>
      <w:proofErr w:type="gramStart"/>
      <w:r w:rsidR="00761413">
        <w:rPr>
          <w:sz w:val="22"/>
          <w:szCs w:val="22"/>
        </w:rPr>
        <w:t>.Ж</w:t>
      </w:r>
      <w:proofErr w:type="gramEnd"/>
      <w:r w:rsidR="00761413">
        <w:rPr>
          <w:sz w:val="22"/>
          <w:szCs w:val="22"/>
        </w:rPr>
        <w:t>езказган</w:t>
      </w:r>
      <w:proofErr w:type="spellEnd"/>
      <w:r w:rsidRPr="00E70383">
        <w:rPr>
          <w:sz w:val="22"/>
          <w:szCs w:val="22"/>
        </w:rPr>
        <w:t>" управления здравоохранения Карагандинской области</w:t>
      </w:r>
      <w:r w:rsidR="000025E5">
        <w:rPr>
          <w:sz w:val="22"/>
          <w:szCs w:val="22"/>
        </w:rPr>
        <w:t xml:space="preserve"> </w:t>
      </w:r>
      <w:proofErr w:type="spellStart"/>
      <w:r w:rsidRPr="00E70383">
        <w:t>г.</w:t>
      </w:r>
      <w:r w:rsidR="00761413">
        <w:t>Жезказган</w:t>
      </w:r>
      <w:proofErr w:type="spellEnd"/>
      <w:r w:rsidRPr="00E70383">
        <w:t>, ул.</w:t>
      </w:r>
      <w:r w:rsidR="00761413">
        <w:t xml:space="preserve">Акына </w:t>
      </w:r>
      <w:proofErr w:type="spellStart"/>
      <w:r w:rsidR="00761413">
        <w:t>Иманжана</w:t>
      </w:r>
      <w:proofErr w:type="spellEnd"/>
      <w:r w:rsidR="00761413">
        <w:t>, 11</w:t>
      </w:r>
      <w:r w:rsidRPr="00E70383">
        <w:t>.</w:t>
      </w:r>
    </w:p>
    <w:p w:rsidR="004F13EE" w:rsidRPr="00E70383" w:rsidRDefault="004F13EE" w:rsidP="00761413">
      <w:pPr>
        <w:rPr>
          <w:sz w:val="22"/>
          <w:szCs w:val="22"/>
        </w:rPr>
      </w:pPr>
      <w:r w:rsidRPr="00E70383">
        <w:rPr>
          <w:sz w:val="22"/>
          <w:szCs w:val="22"/>
        </w:rPr>
        <w:t>2) Обеспечить страховку товара, соответствующее  его хранение при прохождении таможенной  очистки, уплату таможенных пошлин, налогов, сборов и любые  другие  вспомогательные  услуги,  подлежащие  выполнению  потенциальным  поставщиком на  всем  протяжении  транспортировки медицинских изделий до момента  поставки  конечному  получателю.</w:t>
      </w:r>
    </w:p>
    <w:p w:rsidR="00034105" w:rsidRPr="00034105" w:rsidRDefault="004F13EE" w:rsidP="00034105">
      <w:pPr>
        <w:pStyle w:val="a5"/>
        <w:jc w:val="both"/>
        <w:rPr>
          <w:i/>
          <w:iCs/>
          <w:sz w:val="22"/>
          <w:szCs w:val="22"/>
        </w:rPr>
      </w:pPr>
      <w:r w:rsidRPr="00E70383">
        <w:rPr>
          <w:sz w:val="22"/>
          <w:szCs w:val="22"/>
        </w:rPr>
        <w:t>3) Тендерная заявка должна содержать письмо-гарантию потенциального поставщика о предоставлении  сертификата</w:t>
      </w:r>
      <w:r w:rsidR="00E70383">
        <w:rPr>
          <w:sz w:val="22"/>
          <w:szCs w:val="22"/>
        </w:rPr>
        <w:t xml:space="preserve"> </w:t>
      </w:r>
      <w:r w:rsidRPr="00E70383">
        <w:rPr>
          <w:sz w:val="22"/>
          <w:szCs w:val="22"/>
        </w:rPr>
        <w:t>установленного образца на медицинские изделия(при поставке</w:t>
      </w:r>
      <w:r w:rsidRPr="00BB08A4">
        <w:rPr>
          <w:sz w:val="22"/>
          <w:szCs w:val="22"/>
        </w:rPr>
        <w:t>).</w:t>
      </w:r>
      <w:r w:rsidR="00BB08A4" w:rsidRPr="00BB08A4">
        <w:rPr>
          <w:i/>
          <w:iCs/>
          <w:sz w:val="22"/>
          <w:szCs w:val="22"/>
        </w:rPr>
        <w:t xml:space="preserve"> (п.1,2,3</w:t>
      </w:r>
      <w:proofErr w:type="gramStart"/>
      <w:r w:rsidR="00BB08A4" w:rsidRPr="00BB08A4">
        <w:rPr>
          <w:i/>
          <w:iCs/>
          <w:sz w:val="22"/>
          <w:szCs w:val="22"/>
        </w:rPr>
        <w:t xml:space="preserve"> П</w:t>
      </w:r>
      <w:proofErr w:type="gramEnd"/>
      <w:r w:rsidR="00BB08A4" w:rsidRPr="00BB08A4">
        <w:rPr>
          <w:i/>
          <w:iCs/>
          <w:sz w:val="22"/>
          <w:szCs w:val="22"/>
        </w:rPr>
        <w:t>одтвердить гарантийным письмом)</w:t>
      </w:r>
    </w:p>
    <w:p w:rsidR="00D95E31" w:rsidRDefault="004F13EE" w:rsidP="00D95E31">
      <w:pPr>
        <w:tabs>
          <w:tab w:val="left" w:pos="1170"/>
        </w:tabs>
        <w:rPr>
          <w:b/>
          <w:sz w:val="21"/>
          <w:szCs w:val="21"/>
        </w:rPr>
      </w:pPr>
      <w:r w:rsidRPr="00E70383">
        <w:rPr>
          <w:b/>
          <w:sz w:val="21"/>
          <w:szCs w:val="21"/>
        </w:rPr>
        <w:t xml:space="preserve">Организатор тендера </w:t>
      </w:r>
    </w:p>
    <w:p w:rsidR="00D95E31" w:rsidRPr="00E70383" w:rsidRDefault="00D95E31" w:rsidP="00D95E31">
      <w:pPr>
        <w:tabs>
          <w:tab w:val="left" w:pos="1170"/>
        </w:tabs>
        <w:rPr>
          <w:b/>
          <w:sz w:val="21"/>
          <w:szCs w:val="21"/>
        </w:rPr>
      </w:pPr>
      <w:r w:rsidRPr="00E70383">
        <w:rPr>
          <w:b/>
          <w:sz w:val="21"/>
          <w:szCs w:val="21"/>
        </w:rPr>
        <w:t xml:space="preserve">КГП </w:t>
      </w:r>
      <w:r w:rsidR="00761413">
        <w:rPr>
          <w:b/>
          <w:sz w:val="21"/>
          <w:szCs w:val="21"/>
        </w:rPr>
        <w:t xml:space="preserve">«Многопрофильная больница </w:t>
      </w:r>
      <w:proofErr w:type="spellStart"/>
      <w:r w:rsidR="00761413">
        <w:rPr>
          <w:b/>
          <w:sz w:val="21"/>
          <w:szCs w:val="21"/>
        </w:rPr>
        <w:t>г</w:t>
      </w:r>
      <w:proofErr w:type="gramStart"/>
      <w:r w:rsidR="00761413">
        <w:rPr>
          <w:b/>
          <w:sz w:val="21"/>
          <w:szCs w:val="21"/>
        </w:rPr>
        <w:t>.Ж</w:t>
      </w:r>
      <w:proofErr w:type="gramEnd"/>
      <w:r w:rsidR="00761413">
        <w:rPr>
          <w:b/>
          <w:sz w:val="21"/>
          <w:szCs w:val="21"/>
        </w:rPr>
        <w:t>езкзаган</w:t>
      </w:r>
      <w:proofErr w:type="spellEnd"/>
      <w:r w:rsidR="00761413">
        <w:rPr>
          <w:b/>
          <w:sz w:val="21"/>
          <w:szCs w:val="21"/>
        </w:rPr>
        <w:t>»</w:t>
      </w:r>
    </w:p>
    <w:p w:rsidR="00D95E31" w:rsidRPr="00034105" w:rsidRDefault="00D95E31" w:rsidP="00034105">
      <w:pPr>
        <w:tabs>
          <w:tab w:val="left" w:pos="1386"/>
        </w:tabs>
        <w:rPr>
          <w:b/>
          <w:sz w:val="21"/>
          <w:szCs w:val="21"/>
          <w:lang w:val="kk-KZ"/>
        </w:rPr>
      </w:pPr>
      <w:r w:rsidRPr="00E70383">
        <w:rPr>
          <w:b/>
          <w:sz w:val="21"/>
          <w:szCs w:val="21"/>
        </w:rPr>
        <w:t xml:space="preserve">Директор             </w:t>
      </w:r>
      <w:r>
        <w:rPr>
          <w:b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</w:t>
      </w:r>
      <w:r w:rsidR="00761413">
        <w:rPr>
          <w:b/>
          <w:sz w:val="21"/>
          <w:szCs w:val="21"/>
          <w:lang w:val="kk-KZ"/>
        </w:rPr>
        <w:t>Әбсалық М.М.</w:t>
      </w:r>
    </w:p>
    <w:sectPr w:rsidR="00D95E31" w:rsidRPr="00034105" w:rsidSect="00B62801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A52"/>
    <w:multiLevelType w:val="hybridMultilevel"/>
    <w:tmpl w:val="75B63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81BF7"/>
    <w:multiLevelType w:val="hybridMultilevel"/>
    <w:tmpl w:val="15E2C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74A24"/>
    <w:multiLevelType w:val="hybridMultilevel"/>
    <w:tmpl w:val="727A1AFA"/>
    <w:lvl w:ilvl="0" w:tplc="67549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B33B1"/>
    <w:multiLevelType w:val="hybridMultilevel"/>
    <w:tmpl w:val="941A2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A1CE5"/>
    <w:multiLevelType w:val="hybridMultilevel"/>
    <w:tmpl w:val="AAD05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5EA8"/>
    <w:rsid w:val="00000B89"/>
    <w:rsid w:val="000025E5"/>
    <w:rsid w:val="00002D5F"/>
    <w:rsid w:val="00005EA8"/>
    <w:rsid w:val="0001478D"/>
    <w:rsid w:val="00024B38"/>
    <w:rsid w:val="000307DA"/>
    <w:rsid w:val="00032882"/>
    <w:rsid w:val="00033921"/>
    <w:rsid w:val="00034105"/>
    <w:rsid w:val="0003640E"/>
    <w:rsid w:val="00037D79"/>
    <w:rsid w:val="00046C68"/>
    <w:rsid w:val="000609AF"/>
    <w:rsid w:val="00066552"/>
    <w:rsid w:val="000B29C2"/>
    <w:rsid w:val="000C0C3C"/>
    <w:rsid w:val="000C14AA"/>
    <w:rsid w:val="000C5160"/>
    <w:rsid w:val="000D3DA8"/>
    <w:rsid w:val="000E6DB0"/>
    <w:rsid w:val="000F3999"/>
    <w:rsid w:val="001100AF"/>
    <w:rsid w:val="00113329"/>
    <w:rsid w:val="001203B6"/>
    <w:rsid w:val="00126E69"/>
    <w:rsid w:val="00131751"/>
    <w:rsid w:val="0013582D"/>
    <w:rsid w:val="0016033A"/>
    <w:rsid w:val="00160A77"/>
    <w:rsid w:val="00161B59"/>
    <w:rsid w:val="00162EEC"/>
    <w:rsid w:val="00171E24"/>
    <w:rsid w:val="00186736"/>
    <w:rsid w:val="00187643"/>
    <w:rsid w:val="001A355B"/>
    <w:rsid w:val="001C259B"/>
    <w:rsid w:val="001C6D46"/>
    <w:rsid w:val="001E1980"/>
    <w:rsid w:val="001F5846"/>
    <w:rsid w:val="0020507F"/>
    <w:rsid w:val="00212B9C"/>
    <w:rsid w:val="00227053"/>
    <w:rsid w:val="002540A4"/>
    <w:rsid w:val="0025497E"/>
    <w:rsid w:val="00255404"/>
    <w:rsid w:val="002706C1"/>
    <w:rsid w:val="00274D8E"/>
    <w:rsid w:val="002938CE"/>
    <w:rsid w:val="002A4CF6"/>
    <w:rsid w:val="002A670E"/>
    <w:rsid w:val="002C150A"/>
    <w:rsid w:val="002C5C5F"/>
    <w:rsid w:val="002E5DAD"/>
    <w:rsid w:val="002F2353"/>
    <w:rsid w:val="0032642C"/>
    <w:rsid w:val="00327B1D"/>
    <w:rsid w:val="00333736"/>
    <w:rsid w:val="00342A43"/>
    <w:rsid w:val="00353AC5"/>
    <w:rsid w:val="00391DC0"/>
    <w:rsid w:val="00392D16"/>
    <w:rsid w:val="003C095F"/>
    <w:rsid w:val="003C38A8"/>
    <w:rsid w:val="003C5D46"/>
    <w:rsid w:val="003D7263"/>
    <w:rsid w:val="003F54BE"/>
    <w:rsid w:val="003F6A1A"/>
    <w:rsid w:val="00402AB5"/>
    <w:rsid w:val="004044B3"/>
    <w:rsid w:val="00410815"/>
    <w:rsid w:val="00435A6D"/>
    <w:rsid w:val="004374B2"/>
    <w:rsid w:val="00457FBA"/>
    <w:rsid w:val="004633A0"/>
    <w:rsid w:val="00466290"/>
    <w:rsid w:val="0046746B"/>
    <w:rsid w:val="004776FD"/>
    <w:rsid w:val="0048522C"/>
    <w:rsid w:val="004A669F"/>
    <w:rsid w:val="004B035A"/>
    <w:rsid w:val="004B37EF"/>
    <w:rsid w:val="004C1999"/>
    <w:rsid w:val="004E6703"/>
    <w:rsid w:val="004F13EE"/>
    <w:rsid w:val="005043C5"/>
    <w:rsid w:val="00517F04"/>
    <w:rsid w:val="00520B08"/>
    <w:rsid w:val="005232CB"/>
    <w:rsid w:val="00542585"/>
    <w:rsid w:val="00543749"/>
    <w:rsid w:val="00547AA1"/>
    <w:rsid w:val="00552401"/>
    <w:rsid w:val="005524E1"/>
    <w:rsid w:val="0055348A"/>
    <w:rsid w:val="0057368E"/>
    <w:rsid w:val="005879DA"/>
    <w:rsid w:val="00591178"/>
    <w:rsid w:val="005976EA"/>
    <w:rsid w:val="005A4F18"/>
    <w:rsid w:val="005B2768"/>
    <w:rsid w:val="005B422E"/>
    <w:rsid w:val="005B6B16"/>
    <w:rsid w:val="005C5B49"/>
    <w:rsid w:val="005D3F8F"/>
    <w:rsid w:val="005D6FAA"/>
    <w:rsid w:val="005D7F6E"/>
    <w:rsid w:val="005F2CD5"/>
    <w:rsid w:val="005F3EA1"/>
    <w:rsid w:val="006030D4"/>
    <w:rsid w:val="00624883"/>
    <w:rsid w:val="0063744D"/>
    <w:rsid w:val="00664488"/>
    <w:rsid w:val="00665F1E"/>
    <w:rsid w:val="00677A13"/>
    <w:rsid w:val="00682CF8"/>
    <w:rsid w:val="00683C87"/>
    <w:rsid w:val="006949DF"/>
    <w:rsid w:val="006964B8"/>
    <w:rsid w:val="006A192B"/>
    <w:rsid w:val="006B7602"/>
    <w:rsid w:val="006C51D1"/>
    <w:rsid w:val="006C57F1"/>
    <w:rsid w:val="006E6AA5"/>
    <w:rsid w:val="006F4CA4"/>
    <w:rsid w:val="00702C76"/>
    <w:rsid w:val="007245F8"/>
    <w:rsid w:val="007261F9"/>
    <w:rsid w:val="00730B30"/>
    <w:rsid w:val="00751F51"/>
    <w:rsid w:val="00754E6B"/>
    <w:rsid w:val="00761413"/>
    <w:rsid w:val="00765AC3"/>
    <w:rsid w:val="007A2CFB"/>
    <w:rsid w:val="007A5C93"/>
    <w:rsid w:val="007A6958"/>
    <w:rsid w:val="007C2F75"/>
    <w:rsid w:val="007E2DFE"/>
    <w:rsid w:val="007E4B68"/>
    <w:rsid w:val="007F53CB"/>
    <w:rsid w:val="007F5C19"/>
    <w:rsid w:val="00801B95"/>
    <w:rsid w:val="00844EC8"/>
    <w:rsid w:val="00851569"/>
    <w:rsid w:val="008776B5"/>
    <w:rsid w:val="00880C9D"/>
    <w:rsid w:val="008833BF"/>
    <w:rsid w:val="00891948"/>
    <w:rsid w:val="008A4081"/>
    <w:rsid w:val="008B2638"/>
    <w:rsid w:val="008B2ABF"/>
    <w:rsid w:val="008C0DE6"/>
    <w:rsid w:val="008C3E68"/>
    <w:rsid w:val="008D2E5C"/>
    <w:rsid w:val="008D59C3"/>
    <w:rsid w:val="008E6954"/>
    <w:rsid w:val="008F08EA"/>
    <w:rsid w:val="008F310D"/>
    <w:rsid w:val="009020ED"/>
    <w:rsid w:val="00906F2D"/>
    <w:rsid w:val="00926222"/>
    <w:rsid w:val="00927A5F"/>
    <w:rsid w:val="009416EE"/>
    <w:rsid w:val="009420C5"/>
    <w:rsid w:val="009533DE"/>
    <w:rsid w:val="00955B71"/>
    <w:rsid w:val="00965488"/>
    <w:rsid w:val="009701C3"/>
    <w:rsid w:val="00976F6F"/>
    <w:rsid w:val="00977981"/>
    <w:rsid w:val="009860FC"/>
    <w:rsid w:val="00993FFD"/>
    <w:rsid w:val="009A3EC4"/>
    <w:rsid w:val="009A73A1"/>
    <w:rsid w:val="009C08BB"/>
    <w:rsid w:val="009C0C71"/>
    <w:rsid w:val="009C316C"/>
    <w:rsid w:val="009C6FB7"/>
    <w:rsid w:val="009D1ECF"/>
    <w:rsid w:val="009E583D"/>
    <w:rsid w:val="009E59CC"/>
    <w:rsid w:val="009F1FCE"/>
    <w:rsid w:val="009F3395"/>
    <w:rsid w:val="009F3BF8"/>
    <w:rsid w:val="00A20149"/>
    <w:rsid w:val="00A22217"/>
    <w:rsid w:val="00A25AF3"/>
    <w:rsid w:val="00A42472"/>
    <w:rsid w:val="00A436D8"/>
    <w:rsid w:val="00A53F12"/>
    <w:rsid w:val="00A63689"/>
    <w:rsid w:val="00A65877"/>
    <w:rsid w:val="00A667CE"/>
    <w:rsid w:val="00AC106E"/>
    <w:rsid w:val="00AC341F"/>
    <w:rsid w:val="00AC46AE"/>
    <w:rsid w:val="00AE0C60"/>
    <w:rsid w:val="00AF22BA"/>
    <w:rsid w:val="00AF3F08"/>
    <w:rsid w:val="00AF47A8"/>
    <w:rsid w:val="00AF746B"/>
    <w:rsid w:val="00B23CD5"/>
    <w:rsid w:val="00B260FA"/>
    <w:rsid w:val="00B32DE8"/>
    <w:rsid w:val="00B35CEE"/>
    <w:rsid w:val="00B44205"/>
    <w:rsid w:val="00B46D1A"/>
    <w:rsid w:val="00B51BBF"/>
    <w:rsid w:val="00B528B5"/>
    <w:rsid w:val="00B57CE9"/>
    <w:rsid w:val="00B62801"/>
    <w:rsid w:val="00B74E6C"/>
    <w:rsid w:val="00B90084"/>
    <w:rsid w:val="00B91CCC"/>
    <w:rsid w:val="00BB08A4"/>
    <w:rsid w:val="00BB20C8"/>
    <w:rsid w:val="00BB2993"/>
    <w:rsid w:val="00BB30A1"/>
    <w:rsid w:val="00BB4EC5"/>
    <w:rsid w:val="00BC5700"/>
    <w:rsid w:val="00BD0478"/>
    <w:rsid w:val="00BD478F"/>
    <w:rsid w:val="00BD5A8D"/>
    <w:rsid w:val="00BF653F"/>
    <w:rsid w:val="00C22DCB"/>
    <w:rsid w:val="00C254CE"/>
    <w:rsid w:val="00C45916"/>
    <w:rsid w:val="00C53B5D"/>
    <w:rsid w:val="00C66005"/>
    <w:rsid w:val="00C74B01"/>
    <w:rsid w:val="00C776A1"/>
    <w:rsid w:val="00C77B72"/>
    <w:rsid w:val="00C80B2C"/>
    <w:rsid w:val="00C858CB"/>
    <w:rsid w:val="00C97B16"/>
    <w:rsid w:val="00CB155F"/>
    <w:rsid w:val="00CB1F08"/>
    <w:rsid w:val="00CD289A"/>
    <w:rsid w:val="00CD7D0E"/>
    <w:rsid w:val="00CF4A0E"/>
    <w:rsid w:val="00D02CE5"/>
    <w:rsid w:val="00D35A94"/>
    <w:rsid w:val="00D57BA7"/>
    <w:rsid w:val="00D659BE"/>
    <w:rsid w:val="00D71E5A"/>
    <w:rsid w:val="00D72C60"/>
    <w:rsid w:val="00D7517C"/>
    <w:rsid w:val="00D82638"/>
    <w:rsid w:val="00D9190A"/>
    <w:rsid w:val="00D94BAC"/>
    <w:rsid w:val="00D956A6"/>
    <w:rsid w:val="00D95DAB"/>
    <w:rsid w:val="00D95E31"/>
    <w:rsid w:val="00DB18D5"/>
    <w:rsid w:val="00DD7CED"/>
    <w:rsid w:val="00DF4082"/>
    <w:rsid w:val="00DF4AA9"/>
    <w:rsid w:val="00DF718B"/>
    <w:rsid w:val="00E02C2E"/>
    <w:rsid w:val="00E04B58"/>
    <w:rsid w:val="00E05BBC"/>
    <w:rsid w:val="00E33FD6"/>
    <w:rsid w:val="00E4058E"/>
    <w:rsid w:val="00E41CA9"/>
    <w:rsid w:val="00E634A3"/>
    <w:rsid w:val="00E65155"/>
    <w:rsid w:val="00E70383"/>
    <w:rsid w:val="00E907CB"/>
    <w:rsid w:val="00EA5528"/>
    <w:rsid w:val="00ED0755"/>
    <w:rsid w:val="00ED7B0D"/>
    <w:rsid w:val="00EE717D"/>
    <w:rsid w:val="00EF4D41"/>
    <w:rsid w:val="00EF52A3"/>
    <w:rsid w:val="00F1189B"/>
    <w:rsid w:val="00F146E6"/>
    <w:rsid w:val="00F17801"/>
    <w:rsid w:val="00F17C01"/>
    <w:rsid w:val="00F456ED"/>
    <w:rsid w:val="00F46F01"/>
    <w:rsid w:val="00F621E9"/>
    <w:rsid w:val="00F672AE"/>
    <w:rsid w:val="00F825B3"/>
    <w:rsid w:val="00F83E6D"/>
    <w:rsid w:val="00F85C29"/>
    <w:rsid w:val="00F903F7"/>
    <w:rsid w:val="00FA2D45"/>
    <w:rsid w:val="00FA5571"/>
    <w:rsid w:val="00FC73B5"/>
    <w:rsid w:val="00FC76EE"/>
    <w:rsid w:val="00FD0C07"/>
    <w:rsid w:val="00FD1FCB"/>
    <w:rsid w:val="00FD2227"/>
    <w:rsid w:val="00FD58B6"/>
    <w:rsid w:val="00FD7B0B"/>
    <w:rsid w:val="00FF0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EA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rsid w:val="00683C87"/>
    <w:pPr>
      <w:widowControl w:val="0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3C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83">
    <w:name w:val="Font Style83"/>
    <w:rsid w:val="008E695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33FD6"/>
    <w:pPr>
      <w:ind w:left="720"/>
      <w:contextualSpacing/>
    </w:pPr>
  </w:style>
  <w:style w:type="paragraph" w:customStyle="1" w:styleId="1">
    <w:name w:val="Обычный1"/>
    <w:rsid w:val="0022705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Iauiue">
    <w:name w:val="Iau?iue"/>
    <w:rsid w:val="00DF4A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34"/>
    <w:qFormat/>
    <w:rsid w:val="00DF4A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ranslation-chunk">
    <w:name w:val="translation-chunk"/>
    <w:basedOn w:val="a0"/>
    <w:rsid w:val="008C0DE6"/>
  </w:style>
  <w:style w:type="character" w:styleId="a9">
    <w:name w:val="Emphasis"/>
    <w:basedOn w:val="a0"/>
    <w:qFormat/>
    <w:rsid w:val="008C0DE6"/>
    <w:rPr>
      <w:i/>
      <w:iCs/>
    </w:rPr>
  </w:style>
  <w:style w:type="paragraph" w:customStyle="1" w:styleId="Default">
    <w:name w:val="Default"/>
    <w:rsid w:val="00B44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EA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rsid w:val="00683C87"/>
    <w:pPr>
      <w:widowControl w:val="0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3C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83">
    <w:name w:val="Font Style83"/>
    <w:rsid w:val="008E695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33FD6"/>
    <w:pPr>
      <w:ind w:left="720"/>
      <w:contextualSpacing/>
    </w:pPr>
  </w:style>
  <w:style w:type="paragraph" w:customStyle="1" w:styleId="1">
    <w:name w:val="Обычный1"/>
    <w:rsid w:val="0022705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Iauiue">
    <w:name w:val="Iau?iue"/>
    <w:rsid w:val="00DF4A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DF4A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ranslation-chunk">
    <w:name w:val="translation-chunk"/>
    <w:basedOn w:val="a0"/>
    <w:rsid w:val="008C0DE6"/>
  </w:style>
  <w:style w:type="character" w:styleId="a9">
    <w:name w:val="Emphasis"/>
    <w:basedOn w:val="a0"/>
    <w:qFormat/>
    <w:rsid w:val="008C0D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F2557-7FB9-40A0-A770-3BDADA98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63</cp:revision>
  <cp:lastPrinted>2022-01-28T06:07:00Z</cp:lastPrinted>
  <dcterms:created xsi:type="dcterms:W3CDTF">2021-12-27T05:02:00Z</dcterms:created>
  <dcterms:modified xsi:type="dcterms:W3CDTF">2022-01-28T06:07:00Z</dcterms:modified>
</cp:coreProperties>
</file>